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F94653">
        <w:rPr>
          <w:b/>
        </w:rPr>
        <w:t>Многоквартирный</w:t>
      </w:r>
      <w:r w:rsidR="000F5D42" w:rsidRPr="00F94653">
        <w:rPr>
          <w:b/>
          <w:sz w:val="17"/>
        </w:rPr>
        <w:t xml:space="preserve"> </w:t>
      </w:r>
      <w:r w:rsidR="000F5D42" w:rsidRPr="00F94653">
        <w:rPr>
          <w:b/>
        </w:rPr>
        <w:t>ж</w:t>
      </w:r>
      <w:r w:rsidRPr="00F94653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F94653">
        <w:t>Салмышская</w:t>
      </w:r>
      <w:r w:rsidR="00CC27BD" w:rsidRPr="002060E7">
        <w:t xml:space="preserve"> </w:t>
      </w:r>
      <w:r w:rsidRPr="002060E7">
        <w:t xml:space="preserve"> д. </w:t>
      </w:r>
      <w:r w:rsidR="00F94653">
        <w:t>70/2</w:t>
      </w:r>
    </w:p>
    <w:p w:rsidR="008A2625" w:rsidRDefault="008A2625" w:rsidP="008E4C7B">
      <w:pPr>
        <w:pStyle w:val="a4"/>
        <w:jc w:val="both"/>
      </w:pPr>
      <w:r w:rsidRPr="00F94653">
        <w:rPr>
          <w:b/>
        </w:rPr>
        <w:t>Здание</w:t>
      </w:r>
      <w:r>
        <w:t xml:space="preserve">: </w:t>
      </w:r>
      <w:r w:rsidR="00F94653">
        <w:t>10</w:t>
      </w:r>
      <w:r>
        <w:t>-ти этажное,</w:t>
      </w:r>
      <w:r w:rsidR="00F94653">
        <w:t xml:space="preserve"> состоит из 5-ти блок-секций со сквозным проходом в блок-секции №3,</w:t>
      </w:r>
      <w:r>
        <w:t xml:space="preserve"> </w:t>
      </w:r>
      <w:r w:rsidR="00F94653">
        <w:t>5</w:t>
      </w:r>
      <w:r>
        <w:t xml:space="preserve"> подъезд</w:t>
      </w:r>
      <w:r w:rsidR="00F94653">
        <w:t>ов</w:t>
      </w:r>
      <w:r>
        <w:t xml:space="preserve">, количество квартир - </w:t>
      </w:r>
      <w:r w:rsidR="00F94653">
        <w:t>199</w:t>
      </w:r>
    </w:p>
    <w:p w:rsidR="008A2625" w:rsidRDefault="008A2625" w:rsidP="008E4C7B">
      <w:pPr>
        <w:pStyle w:val="a4"/>
        <w:jc w:val="both"/>
      </w:pPr>
      <w:r w:rsidRPr="00F94653">
        <w:rPr>
          <w:b/>
        </w:rPr>
        <w:t>Год постройки</w:t>
      </w:r>
      <w:r>
        <w:t xml:space="preserve"> 201</w:t>
      </w:r>
      <w:r w:rsidR="00F94653">
        <w:t>0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F94653">
        <w:rPr>
          <w:b/>
        </w:rPr>
        <w:t>Серия и тип постройки</w:t>
      </w:r>
      <w:r>
        <w:t xml:space="preserve"> – индивидуальный проект 11060.</w:t>
      </w:r>
      <w:r w:rsidR="00F94653">
        <w:t>2</w:t>
      </w:r>
      <w:r>
        <w:t>.00-</w:t>
      </w:r>
      <w:r w:rsidR="00F94653">
        <w:t>06</w:t>
      </w:r>
    </w:p>
    <w:p w:rsidR="00EB66CB" w:rsidRDefault="00F94653" w:rsidP="008E4C7B">
      <w:pPr>
        <w:pStyle w:val="a4"/>
        <w:jc w:val="both"/>
      </w:pPr>
      <w:r w:rsidRPr="00F94653">
        <w:rPr>
          <w:b/>
        </w:rPr>
        <w:t>Инвентарный номер</w:t>
      </w:r>
      <w:r w:rsidR="00EB66CB" w:rsidRPr="00F94653">
        <w:rPr>
          <w:b/>
        </w:rPr>
        <w:t xml:space="preserve"> МКД</w:t>
      </w:r>
      <w:r w:rsidR="00EB66CB">
        <w:t xml:space="preserve"> – </w:t>
      </w:r>
      <w:r>
        <w:t>53:401:002:000653530</w:t>
      </w:r>
      <w:r w:rsidR="00EB66CB">
        <w:t>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F94653">
        <w:t xml:space="preserve"> 53:401:002:000653540;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F94653">
        <w:t xml:space="preserve"> 53:401:002:000653550;</w:t>
      </w:r>
    </w:p>
    <w:p w:rsidR="00F94653" w:rsidRDefault="00F94653" w:rsidP="00F94653">
      <w:pPr>
        <w:pStyle w:val="a4"/>
        <w:tabs>
          <w:tab w:val="left" w:pos="2614"/>
        </w:tabs>
        <w:jc w:val="both"/>
      </w:pPr>
      <w:r>
        <w:tab/>
        <w:t>53:401:002:000653560;</w:t>
      </w:r>
    </w:p>
    <w:p w:rsidR="00F94653" w:rsidRDefault="00F94653" w:rsidP="00F94653">
      <w:pPr>
        <w:pStyle w:val="a4"/>
        <w:tabs>
          <w:tab w:val="left" w:pos="2614"/>
        </w:tabs>
        <w:jc w:val="both"/>
      </w:pPr>
      <w:r>
        <w:tab/>
        <w:t>53:401:002:000653570;</w:t>
      </w:r>
    </w:p>
    <w:p w:rsidR="00F94653" w:rsidRDefault="00F94653" w:rsidP="00F94653">
      <w:pPr>
        <w:pStyle w:val="a4"/>
        <w:tabs>
          <w:tab w:val="left" w:pos="2614"/>
        </w:tabs>
        <w:jc w:val="both"/>
      </w:pPr>
      <w:r w:rsidRPr="00F94653">
        <w:rPr>
          <w:b/>
        </w:rPr>
        <w:t>Кадастровый номер МКД</w:t>
      </w:r>
      <w:r>
        <w:t xml:space="preserve"> отсутствует.</w:t>
      </w:r>
    </w:p>
    <w:p w:rsidR="00EB66CB" w:rsidRDefault="00EB66CB" w:rsidP="008E4C7B">
      <w:pPr>
        <w:pStyle w:val="a4"/>
        <w:jc w:val="both"/>
      </w:pPr>
      <w:r w:rsidRPr="00F94653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F94653">
        <w:rPr>
          <w:b/>
        </w:rPr>
        <w:t>Общая площадь участка</w:t>
      </w:r>
      <w:r>
        <w:t xml:space="preserve"> – </w:t>
      </w:r>
      <w:r w:rsidR="003C070C">
        <w:t>46414,4</w:t>
      </w:r>
      <w:r>
        <w:t xml:space="preserve"> м2, в т.ч. площадь застройки – </w:t>
      </w:r>
      <w:r w:rsidR="00F94653">
        <w:t xml:space="preserve">2289,1 </w:t>
      </w:r>
      <w:r>
        <w:t xml:space="preserve">м2, площадь придомовой территории – </w:t>
      </w:r>
      <w:r w:rsidR="003C070C">
        <w:t>44124,9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F94653">
        <w:rPr>
          <w:b/>
        </w:rPr>
        <w:t>Общая площадь</w:t>
      </w:r>
      <w:r w:rsidR="00EB66CB" w:rsidRPr="00F94653">
        <w:rPr>
          <w:b/>
        </w:rPr>
        <w:t xml:space="preserve"> МКД</w:t>
      </w:r>
      <w:r w:rsidR="009C6658" w:rsidRPr="002060E7">
        <w:t xml:space="preserve"> -  </w:t>
      </w:r>
      <w:r w:rsidR="00524B9B">
        <w:t>18857,5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6F54F3">
        <w:rPr>
          <w:b/>
        </w:rPr>
        <w:t>п</w:t>
      </w:r>
      <w:r w:rsidR="00EB66CB" w:rsidRPr="006F54F3">
        <w:rPr>
          <w:b/>
        </w:rPr>
        <w:t>лощадь жилых помещений</w:t>
      </w:r>
      <w:r w:rsidR="00EB66CB">
        <w:t xml:space="preserve">  - </w:t>
      </w:r>
      <w:r w:rsidR="00582AED">
        <w:t>13100,9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6F54F3">
        <w:rPr>
          <w:b/>
        </w:rPr>
        <w:t>п</w:t>
      </w:r>
      <w:r w:rsidR="00EB66CB" w:rsidRPr="006F54F3">
        <w:rPr>
          <w:b/>
        </w:rPr>
        <w:t>лощадь нежилых помещений</w:t>
      </w:r>
      <w:r w:rsidR="00EB66CB">
        <w:t xml:space="preserve"> – </w:t>
      </w:r>
      <w:r w:rsidR="00582AED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6F54F3">
        <w:rPr>
          <w:b/>
        </w:rPr>
        <w:t>площадь помещений, входящих в состав общего имущества</w:t>
      </w:r>
      <w:r>
        <w:t xml:space="preserve">– </w:t>
      </w:r>
      <w:r w:rsidR="00582AED">
        <w:t>5756,6</w:t>
      </w:r>
      <w:r>
        <w:t xml:space="preserve">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Система отопления вертикальная </w:t>
      </w:r>
      <w:r w:rsidR="00511675">
        <w:rPr>
          <w:rFonts w:ascii="Cambria" w:hAnsi="Cambria"/>
          <w:sz w:val="20"/>
          <w:szCs w:val="20"/>
        </w:rPr>
        <w:t>двух</w:t>
      </w:r>
      <w:r>
        <w:rPr>
          <w:rFonts w:ascii="Cambria" w:hAnsi="Cambria"/>
          <w:sz w:val="20"/>
          <w:szCs w:val="20"/>
        </w:rPr>
        <w:t>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электроэнергии имеется 6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Д1, Д2, Д3 – из коридоров жилого дома и приточная противодымная вентиляция  ПВ1, ПВ2, ПВ3,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DEB" w:rsidRDefault="00A76DEB" w:rsidP="00BE4F1E">
      <w:pPr>
        <w:spacing w:after="0" w:line="240" w:lineRule="auto"/>
      </w:pPr>
      <w:r>
        <w:separator/>
      </w:r>
    </w:p>
  </w:endnote>
  <w:endnote w:type="continuationSeparator" w:id="1">
    <w:p w:rsidR="00A76DEB" w:rsidRDefault="00A76DE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DEB" w:rsidRDefault="00A76DEB" w:rsidP="00BE4F1E">
      <w:pPr>
        <w:spacing w:after="0" w:line="240" w:lineRule="auto"/>
      </w:pPr>
      <w:r>
        <w:separator/>
      </w:r>
    </w:p>
  </w:footnote>
  <w:footnote w:type="continuationSeparator" w:id="1">
    <w:p w:rsidR="00A76DEB" w:rsidRDefault="00A76DE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A6809"/>
    <w:rsid w:val="000F5D42"/>
    <w:rsid w:val="001111B9"/>
    <w:rsid w:val="00153845"/>
    <w:rsid w:val="00155B96"/>
    <w:rsid w:val="00155BAB"/>
    <w:rsid w:val="00165ABB"/>
    <w:rsid w:val="001A6DD4"/>
    <w:rsid w:val="001B2648"/>
    <w:rsid w:val="001C1037"/>
    <w:rsid w:val="002060E7"/>
    <w:rsid w:val="002605E7"/>
    <w:rsid w:val="00294265"/>
    <w:rsid w:val="00295CB9"/>
    <w:rsid w:val="002C5FE6"/>
    <w:rsid w:val="00315100"/>
    <w:rsid w:val="0031765C"/>
    <w:rsid w:val="00336135"/>
    <w:rsid w:val="00346229"/>
    <w:rsid w:val="003664BB"/>
    <w:rsid w:val="003675DB"/>
    <w:rsid w:val="00373B3A"/>
    <w:rsid w:val="00390EBF"/>
    <w:rsid w:val="00392D5E"/>
    <w:rsid w:val="003A2283"/>
    <w:rsid w:val="003A2793"/>
    <w:rsid w:val="003A7F98"/>
    <w:rsid w:val="003B76CC"/>
    <w:rsid w:val="003C070C"/>
    <w:rsid w:val="003D6A50"/>
    <w:rsid w:val="00420690"/>
    <w:rsid w:val="004B5CA5"/>
    <w:rsid w:val="00511675"/>
    <w:rsid w:val="00524B9B"/>
    <w:rsid w:val="0052609B"/>
    <w:rsid w:val="0056302F"/>
    <w:rsid w:val="00582AED"/>
    <w:rsid w:val="005D268B"/>
    <w:rsid w:val="00615E58"/>
    <w:rsid w:val="00634F61"/>
    <w:rsid w:val="00656A5B"/>
    <w:rsid w:val="00691F9B"/>
    <w:rsid w:val="006959D3"/>
    <w:rsid w:val="006C3CB1"/>
    <w:rsid w:val="006F54F3"/>
    <w:rsid w:val="00715FA9"/>
    <w:rsid w:val="0079029D"/>
    <w:rsid w:val="007D072B"/>
    <w:rsid w:val="007D5DCF"/>
    <w:rsid w:val="008179B7"/>
    <w:rsid w:val="008A2625"/>
    <w:rsid w:val="008E4C7B"/>
    <w:rsid w:val="008F0F5C"/>
    <w:rsid w:val="00900CA9"/>
    <w:rsid w:val="00901FE3"/>
    <w:rsid w:val="00904E92"/>
    <w:rsid w:val="00984235"/>
    <w:rsid w:val="0098650E"/>
    <w:rsid w:val="009A058E"/>
    <w:rsid w:val="009A32FC"/>
    <w:rsid w:val="009C6658"/>
    <w:rsid w:val="009E5050"/>
    <w:rsid w:val="00A34898"/>
    <w:rsid w:val="00A42AD2"/>
    <w:rsid w:val="00A626ED"/>
    <w:rsid w:val="00A76DEB"/>
    <w:rsid w:val="00AA3480"/>
    <w:rsid w:val="00AF3940"/>
    <w:rsid w:val="00AF51D2"/>
    <w:rsid w:val="00B20552"/>
    <w:rsid w:val="00B62A19"/>
    <w:rsid w:val="00BE2882"/>
    <w:rsid w:val="00BE4F1E"/>
    <w:rsid w:val="00C148A6"/>
    <w:rsid w:val="00C21FE2"/>
    <w:rsid w:val="00C41CA6"/>
    <w:rsid w:val="00C94C94"/>
    <w:rsid w:val="00CC27BD"/>
    <w:rsid w:val="00DB47EC"/>
    <w:rsid w:val="00EB66CB"/>
    <w:rsid w:val="00ED2FAF"/>
    <w:rsid w:val="00F11AE5"/>
    <w:rsid w:val="00F86770"/>
    <w:rsid w:val="00F9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19</cp:revision>
  <cp:lastPrinted>2014-12-15T06:26:00Z</cp:lastPrinted>
  <dcterms:created xsi:type="dcterms:W3CDTF">2014-12-15T06:27:00Z</dcterms:created>
  <dcterms:modified xsi:type="dcterms:W3CDTF">2017-06-28T07:02:00Z</dcterms:modified>
</cp:coreProperties>
</file>